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540" w:type="dxa"/>
        <w:tblInd w:w="0" w:type="dxa"/>
        <w:tblLayout w:type="autofit"/>
        <w:tblCellMar>
          <w:top w:w="0" w:type="dxa"/>
          <w:left w:w="108" w:type="dxa"/>
          <w:bottom w:w="0" w:type="dxa"/>
          <w:right w:w="108" w:type="dxa"/>
        </w:tblCellMar>
      </w:tblPr>
      <w:tblGrid>
        <w:gridCol w:w="540"/>
        <w:gridCol w:w="736"/>
        <w:gridCol w:w="709"/>
        <w:gridCol w:w="709"/>
        <w:gridCol w:w="5244"/>
        <w:gridCol w:w="263"/>
        <w:gridCol w:w="1134"/>
        <w:gridCol w:w="3686"/>
        <w:gridCol w:w="283"/>
        <w:gridCol w:w="236"/>
      </w:tblGrid>
      <w:tr w14:paraId="5213508B">
        <w:tblPrEx>
          <w:tblCellMar>
            <w:top w:w="0" w:type="dxa"/>
            <w:left w:w="108" w:type="dxa"/>
            <w:bottom w:w="0" w:type="dxa"/>
            <w:right w:w="108" w:type="dxa"/>
          </w:tblCellMar>
        </w:tblPrEx>
        <w:trPr>
          <w:trHeight w:val="408" w:hRule="atLeast"/>
        </w:trPr>
        <w:tc>
          <w:tcPr>
            <w:tcW w:w="1276" w:type="dxa"/>
            <w:gridSpan w:val="2"/>
            <w:tcBorders>
              <w:top w:val="nil"/>
              <w:left w:val="nil"/>
              <w:bottom w:val="nil"/>
              <w:right w:val="nil"/>
            </w:tcBorders>
            <w:shd w:val="clear" w:color="auto" w:fill="auto"/>
            <w:noWrap/>
            <w:vAlign w:val="bottom"/>
          </w:tcPr>
          <w:p w14:paraId="414A53BF">
            <w:pPr>
              <w:widowControl/>
              <w:jc w:val="left"/>
              <w:rPr>
                <w:rFonts w:ascii="黑体" w:hAnsi="黑体" w:eastAsia="黑体" w:cs="Arial Unicode MS"/>
                <w:color w:val="000000"/>
                <w:kern w:val="0"/>
                <w:sz w:val="32"/>
                <w:szCs w:val="32"/>
              </w:rPr>
            </w:pPr>
            <w:r>
              <w:rPr>
                <w:rFonts w:hint="eastAsia" w:ascii="黑体" w:hAnsi="黑体" w:eastAsia="黑体" w:cs="Arial Unicode MS"/>
                <w:color w:val="000000"/>
                <w:kern w:val="0"/>
                <w:sz w:val="32"/>
                <w:szCs w:val="32"/>
              </w:rPr>
              <w:t>附件</w:t>
            </w:r>
          </w:p>
        </w:tc>
        <w:tc>
          <w:tcPr>
            <w:tcW w:w="709" w:type="dxa"/>
            <w:tcBorders>
              <w:top w:val="nil"/>
              <w:left w:val="nil"/>
              <w:bottom w:val="nil"/>
              <w:right w:val="nil"/>
            </w:tcBorders>
            <w:shd w:val="clear" w:color="auto" w:fill="auto"/>
            <w:noWrap/>
            <w:vAlign w:val="bottom"/>
          </w:tcPr>
          <w:p w14:paraId="73B2A766">
            <w:pPr>
              <w:widowControl/>
              <w:jc w:val="left"/>
              <w:rPr>
                <w:rFonts w:ascii="黑体" w:hAnsi="黑体" w:eastAsia="黑体" w:cs="Arial Unicode MS"/>
                <w:color w:val="000000"/>
                <w:kern w:val="0"/>
                <w:sz w:val="32"/>
                <w:szCs w:val="32"/>
              </w:rPr>
            </w:pPr>
          </w:p>
        </w:tc>
        <w:tc>
          <w:tcPr>
            <w:tcW w:w="709" w:type="dxa"/>
            <w:tcBorders>
              <w:top w:val="nil"/>
              <w:left w:val="nil"/>
              <w:bottom w:val="nil"/>
              <w:right w:val="nil"/>
            </w:tcBorders>
            <w:shd w:val="clear" w:color="auto" w:fill="auto"/>
            <w:noWrap/>
            <w:vAlign w:val="bottom"/>
          </w:tcPr>
          <w:p w14:paraId="2D029A22">
            <w:pPr>
              <w:widowControl/>
              <w:jc w:val="left"/>
              <w:rPr>
                <w:rFonts w:ascii="黑体" w:hAnsi="黑体" w:eastAsia="黑体" w:cs="Times New Roman"/>
                <w:kern w:val="0"/>
                <w:sz w:val="32"/>
                <w:szCs w:val="32"/>
              </w:rPr>
            </w:pPr>
          </w:p>
        </w:tc>
        <w:tc>
          <w:tcPr>
            <w:tcW w:w="5244" w:type="dxa"/>
            <w:tcBorders>
              <w:top w:val="nil"/>
              <w:left w:val="nil"/>
              <w:bottom w:val="nil"/>
              <w:right w:val="nil"/>
            </w:tcBorders>
            <w:shd w:val="clear" w:color="auto" w:fill="auto"/>
            <w:noWrap/>
            <w:vAlign w:val="bottom"/>
          </w:tcPr>
          <w:p w14:paraId="15866CE9">
            <w:pPr>
              <w:widowControl/>
              <w:jc w:val="left"/>
              <w:rPr>
                <w:rFonts w:ascii="黑体" w:hAnsi="黑体" w:eastAsia="黑体" w:cs="Times New Roman"/>
                <w:kern w:val="0"/>
                <w:sz w:val="32"/>
                <w:szCs w:val="32"/>
              </w:rPr>
            </w:pPr>
          </w:p>
        </w:tc>
        <w:tc>
          <w:tcPr>
            <w:tcW w:w="263" w:type="dxa"/>
            <w:tcBorders>
              <w:top w:val="nil"/>
              <w:left w:val="nil"/>
              <w:bottom w:val="nil"/>
              <w:right w:val="nil"/>
            </w:tcBorders>
            <w:shd w:val="clear" w:color="auto" w:fill="auto"/>
            <w:noWrap/>
            <w:vAlign w:val="bottom"/>
          </w:tcPr>
          <w:p w14:paraId="4D001DF9">
            <w:pPr>
              <w:widowControl/>
              <w:jc w:val="left"/>
              <w:rPr>
                <w:rFonts w:ascii="黑体" w:hAnsi="黑体" w:eastAsia="黑体" w:cs="Times New Roman"/>
                <w:kern w:val="0"/>
                <w:sz w:val="32"/>
                <w:szCs w:val="32"/>
              </w:rPr>
            </w:pPr>
          </w:p>
        </w:tc>
        <w:tc>
          <w:tcPr>
            <w:tcW w:w="1134" w:type="dxa"/>
            <w:tcBorders>
              <w:top w:val="nil"/>
              <w:left w:val="nil"/>
              <w:bottom w:val="nil"/>
              <w:right w:val="nil"/>
            </w:tcBorders>
            <w:shd w:val="clear" w:color="auto" w:fill="auto"/>
            <w:noWrap/>
            <w:vAlign w:val="bottom"/>
          </w:tcPr>
          <w:p w14:paraId="08232158">
            <w:pPr>
              <w:widowControl/>
              <w:jc w:val="left"/>
              <w:rPr>
                <w:rFonts w:ascii="黑体" w:hAnsi="黑体" w:eastAsia="黑体" w:cs="Times New Roman"/>
                <w:kern w:val="0"/>
                <w:sz w:val="32"/>
                <w:szCs w:val="32"/>
              </w:rPr>
            </w:pPr>
          </w:p>
        </w:tc>
        <w:tc>
          <w:tcPr>
            <w:tcW w:w="3969" w:type="dxa"/>
            <w:gridSpan w:val="2"/>
            <w:tcBorders>
              <w:top w:val="nil"/>
              <w:left w:val="nil"/>
              <w:bottom w:val="nil"/>
              <w:right w:val="nil"/>
            </w:tcBorders>
            <w:shd w:val="clear" w:color="auto" w:fill="auto"/>
            <w:noWrap/>
            <w:vAlign w:val="bottom"/>
          </w:tcPr>
          <w:p w14:paraId="7B411AA7">
            <w:pPr>
              <w:widowControl/>
              <w:jc w:val="left"/>
              <w:rPr>
                <w:rFonts w:ascii="黑体" w:hAnsi="黑体" w:eastAsia="黑体" w:cs="Times New Roman"/>
                <w:kern w:val="0"/>
                <w:sz w:val="32"/>
                <w:szCs w:val="32"/>
              </w:rPr>
            </w:pPr>
          </w:p>
        </w:tc>
        <w:tc>
          <w:tcPr>
            <w:tcW w:w="236" w:type="dxa"/>
            <w:tcBorders>
              <w:top w:val="nil"/>
              <w:left w:val="nil"/>
              <w:bottom w:val="nil"/>
              <w:right w:val="nil"/>
            </w:tcBorders>
            <w:shd w:val="clear" w:color="auto" w:fill="auto"/>
            <w:noWrap/>
            <w:vAlign w:val="bottom"/>
          </w:tcPr>
          <w:p w14:paraId="3C7951F7">
            <w:pPr>
              <w:widowControl/>
              <w:jc w:val="left"/>
              <w:rPr>
                <w:rFonts w:ascii="黑体" w:hAnsi="黑体" w:eastAsia="黑体" w:cs="Times New Roman"/>
                <w:kern w:val="0"/>
                <w:sz w:val="32"/>
                <w:szCs w:val="32"/>
              </w:rPr>
            </w:pPr>
          </w:p>
        </w:tc>
      </w:tr>
      <w:tr w14:paraId="59FC71A6">
        <w:tblPrEx>
          <w:tblCellMar>
            <w:top w:w="0" w:type="dxa"/>
            <w:left w:w="108" w:type="dxa"/>
            <w:bottom w:w="0" w:type="dxa"/>
            <w:right w:w="108" w:type="dxa"/>
          </w:tblCellMar>
        </w:tblPrEx>
        <w:trPr>
          <w:gridAfter w:val="2"/>
          <w:wAfter w:w="519" w:type="dxa"/>
          <w:trHeight w:val="1284" w:hRule="atLeast"/>
        </w:trPr>
        <w:tc>
          <w:tcPr>
            <w:tcW w:w="13021" w:type="dxa"/>
            <w:gridSpan w:val="8"/>
            <w:tcBorders>
              <w:top w:val="nil"/>
              <w:left w:val="nil"/>
              <w:bottom w:val="single" w:color="auto" w:sz="4" w:space="0"/>
              <w:right w:val="nil"/>
            </w:tcBorders>
            <w:shd w:val="clear" w:color="auto" w:fill="auto"/>
            <w:vAlign w:val="center"/>
          </w:tcPr>
          <w:p w14:paraId="60B7FA44">
            <w:pPr>
              <w:widowControl/>
              <w:jc w:val="center"/>
              <w:rPr>
                <w:rFonts w:ascii="方正小标宋简体" w:hAnsi="等线" w:eastAsia="方正小标宋简体" w:cs="宋体"/>
                <w:bCs/>
                <w:color w:val="000000"/>
                <w:kern w:val="0"/>
                <w:sz w:val="36"/>
                <w:szCs w:val="36"/>
              </w:rPr>
            </w:pPr>
            <w:bookmarkStart w:id="9" w:name="_GoBack"/>
            <w:r>
              <w:rPr>
                <w:rFonts w:hint="eastAsia" w:ascii="方正小标宋简体" w:hAnsi="等线" w:eastAsia="方正小标宋简体" w:cs="宋体"/>
                <w:bCs/>
                <w:color w:val="000000"/>
                <w:kern w:val="0"/>
                <w:sz w:val="36"/>
                <w:szCs w:val="36"/>
              </w:rPr>
              <w:t>四川担保集团</w:t>
            </w:r>
            <w:r>
              <w:rPr>
                <w:rFonts w:ascii="方正小标宋简体" w:hAnsi="等线" w:eastAsia="方正小标宋简体" w:cs="宋体"/>
                <w:bCs/>
                <w:color w:val="000000"/>
                <w:kern w:val="0"/>
                <w:sz w:val="36"/>
                <w:szCs w:val="36"/>
              </w:rPr>
              <w:t>2025年下属子公司公开招聘岗位</w:t>
            </w:r>
            <w:bookmarkEnd w:id="9"/>
          </w:p>
        </w:tc>
      </w:tr>
      <w:tr w14:paraId="6F48B496">
        <w:tblPrEx>
          <w:tblCellMar>
            <w:top w:w="0" w:type="dxa"/>
            <w:left w:w="108" w:type="dxa"/>
            <w:bottom w:w="0" w:type="dxa"/>
            <w:right w:w="108" w:type="dxa"/>
          </w:tblCellMar>
        </w:tblPrEx>
        <w:trPr>
          <w:gridAfter w:val="2"/>
          <w:wAfter w:w="519" w:type="dxa"/>
          <w:trHeight w:val="55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8906A8F">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序号</w:t>
            </w:r>
          </w:p>
        </w:tc>
        <w:tc>
          <w:tcPr>
            <w:tcW w:w="736" w:type="dxa"/>
            <w:tcBorders>
              <w:top w:val="nil"/>
              <w:left w:val="nil"/>
              <w:bottom w:val="single" w:color="auto" w:sz="4" w:space="0"/>
              <w:right w:val="single" w:color="auto" w:sz="4" w:space="0"/>
            </w:tcBorders>
            <w:shd w:val="clear" w:color="auto" w:fill="auto"/>
            <w:vAlign w:val="center"/>
          </w:tcPr>
          <w:p w14:paraId="428A2DD9">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单位</w:t>
            </w:r>
          </w:p>
        </w:tc>
        <w:tc>
          <w:tcPr>
            <w:tcW w:w="709" w:type="dxa"/>
            <w:tcBorders>
              <w:top w:val="nil"/>
              <w:left w:val="nil"/>
              <w:bottom w:val="single" w:color="auto" w:sz="4" w:space="0"/>
              <w:right w:val="single" w:color="auto" w:sz="4" w:space="0"/>
            </w:tcBorders>
            <w:shd w:val="clear" w:color="auto" w:fill="auto"/>
            <w:vAlign w:val="center"/>
          </w:tcPr>
          <w:p w14:paraId="7B879B2C">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岗位</w:t>
            </w:r>
          </w:p>
        </w:tc>
        <w:tc>
          <w:tcPr>
            <w:tcW w:w="709" w:type="dxa"/>
            <w:tcBorders>
              <w:top w:val="nil"/>
              <w:left w:val="nil"/>
              <w:bottom w:val="single" w:color="auto" w:sz="4" w:space="0"/>
              <w:right w:val="single" w:color="auto" w:sz="4" w:space="0"/>
            </w:tcBorders>
            <w:shd w:val="clear" w:color="auto" w:fill="auto"/>
            <w:vAlign w:val="center"/>
          </w:tcPr>
          <w:p w14:paraId="3B9B5DF5">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拟招聘人数</w:t>
            </w:r>
          </w:p>
        </w:tc>
        <w:tc>
          <w:tcPr>
            <w:tcW w:w="5244" w:type="dxa"/>
            <w:tcBorders>
              <w:top w:val="nil"/>
              <w:left w:val="nil"/>
              <w:bottom w:val="single" w:color="auto" w:sz="4" w:space="0"/>
              <w:right w:val="single" w:color="auto" w:sz="4" w:space="0"/>
            </w:tcBorders>
            <w:shd w:val="clear" w:color="auto" w:fill="auto"/>
            <w:vAlign w:val="center"/>
          </w:tcPr>
          <w:p w14:paraId="22B4B78A">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岗位职责</w:t>
            </w:r>
          </w:p>
        </w:tc>
        <w:tc>
          <w:tcPr>
            <w:tcW w:w="1397" w:type="dxa"/>
            <w:gridSpan w:val="2"/>
            <w:tcBorders>
              <w:top w:val="nil"/>
              <w:left w:val="nil"/>
              <w:bottom w:val="single" w:color="auto" w:sz="4" w:space="0"/>
              <w:right w:val="single" w:color="auto" w:sz="4" w:space="0"/>
            </w:tcBorders>
            <w:shd w:val="clear" w:color="auto" w:fill="auto"/>
            <w:vAlign w:val="center"/>
          </w:tcPr>
          <w:p w14:paraId="4C98B6EA">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专业要求</w:t>
            </w:r>
          </w:p>
        </w:tc>
        <w:tc>
          <w:tcPr>
            <w:tcW w:w="3686" w:type="dxa"/>
            <w:tcBorders>
              <w:top w:val="nil"/>
              <w:left w:val="nil"/>
              <w:bottom w:val="single" w:color="auto" w:sz="4" w:space="0"/>
              <w:right w:val="single" w:color="auto" w:sz="4" w:space="0"/>
            </w:tcBorders>
            <w:shd w:val="clear" w:color="auto" w:fill="auto"/>
            <w:vAlign w:val="center"/>
          </w:tcPr>
          <w:p w14:paraId="08111E01">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任职要求</w:t>
            </w:r>
          </w:p>
        </w:tc>
      </w:tr>
      <w:tr w14:paraId="3DC9EE16">
        <w:tblPrEx>
          <w:tblCellMar>
            <w:top w:w="0" w:type="dxa"/>
            <w:left w:w="108" w:type="dxa"/>
            <w:bottom w:w="0" w:type="dxa"/>
            <w:right w:w="108" w:type="dxa"/>
          </w:tblCellMar>
        </w:tblPrEx>
        <w:trPr>
          <w:gridAfter w:val="2"/>
          <w:wAfter w:w="519" w:type="dxa"/>
          <w:trHeight w:val="230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C5622C8">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736" w:type="dxa"/>
            <w:tcBorders>
              <w:top w:val="nil"/>
              <w:left w:val="nil"/>
              <w:bottom w:val="single" w:color="auto" w:sz="4" w:space="0"/>
              <w:right w:val="single" w:color="auto" w:sz="4" w:space="0"/>
            </w:tcBorders>
            <w:shd w:val="clear" w:color="auto" w:fill="auto"/>
            <w:vAlign w:val="center"/>
          </w:tcPr>
          <w:p w14:paraId="5C7DF9EC">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四川省信用再担保有限公司</w:t>
            </w:r>
          </w:p>
        </w:tc>
        <w:tc>
          <w:tcPr>
            <w:tcW w:w="709" w:type="dxa"/>
            <w:tcBorders>
              <w:top w:val="nil"/>
              <w:left w:val="nil"/>
              <w:bottom w:val="single" w:color="auto" w:sz="4" w:space="0"/>
              <w:right w:val="single" w:color="auto" w:sz="4" w:space="0"/>
            </w:tcBorders>
            <w:shd w:val="clear" w:color="auto" w:fill="auto"/>
            <w:vAlign w:val="center"/>
          </w:tcPr>
          <w:p w14:paraId="3F51F7A0">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业务经理岗</w:t>
            </w:r>
          </w:p>
        </w:tc>
        <w:tc>
          <w:tcPr>
            <w:tcW w:w="709" w:type="dxa"/>
            <w:tcBorders>
              <w:top w:val="nil"/>
              <w:left w:val="nil"/>
              <w:bottom w:val="single" w:color="auto" w:sz="4" w:space="0"/>
              <w:right w:val="single" w:color="auto" w:sz="4" w:space="0"/>
            </w:tcBorders>
            <w:shd w:val="clear" w:color="auto" w:fill="auto"/>
            <w:vAlign w:val="center"/>
          </w:tcPr>
          <w:p w14:paraId="14FF972D">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4</w:t>
            </w:r>
          </w:p>
        </w:tc>
        <w:tc>
          <w:tcPr>
            <w:tcW w:w="5244" w:type="dxa"/>
            <w:tcBorders>
              <w:top w:val="nil"/>
              <w:left w:val="nil"/>
              <w:bottom w:val="single" w:color="auto" w:sz="4" w:space="0"/>
              <w:right w:val="single" w:color="auto" w:sz="4" w:space="0"/>
            </w:tcBorders>
            <w:shd w:val="clear" w:color="auto" w:fill="auto"/>
            <w:vAlign w:val="center"/>
          </w:tcPr>
          <w:p w14:paraId="396149F4">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1.负责担保机构对接维护、业务推广、合同签署、项目审核、补偿申请初审、专项产品设计开发等工作；</w:t>
            </w:r>
          </w:p>
          <w:p w14:paraId="05B1EBA4">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2.负责与</w:t>
            </w:r>
            <w:r>
              <w:rPr>
                <w:rFonts w:hint="eastAsia" w:ascii="仿宋_GB2312" w:hAnsi="等线" w:eastAsia="仿宋_GB2312" w:cs="宋体"/>
                <w:color w:val="000000"/>
                <w:kern w:val="0"/>
                <w:sz w:val="22"/>
              </w:rPr>
              <w:t>国家融资担保基金</w:t>
            </w:r>
            <w:r>
              <w:rPr>
                <w:rFonts w:ascii="仿宋_GB2312" w:hAnsi="等线" w:eastAsia="仿宋_GB2312" w:cs="宋体"/>
                <w:color w:val="000000"/>
                <w:kern w:val="0"/>
                <w:sz w:val="22"/>
              </w:rPr>
              <w:t>对接，全面及时掌握</w:t>
            </w:r>
            <w:r>
              <w:rPr>
                <w:rFonts w:hint="eastAsia" w:ascii="仿宋_GB2312" w:hAnsi="等线" w:eastAsia="仿宋_GB2312" w:cs="宋体"/>
                <w:color w:val="000000"/>
                <w:kern w:val="0"/>
                <w:sz w:val="22"/>
              </w:rPr>
              <w:t>国家融资担保基金</w:t>
            </w:r>
            <w:r>
              <w:rPr>
                <w:rFonts w:ascii="仿宋_GB2312" w:hAnsi="等线" w:eastAsia="仿宋_GB2312" w:cs="宋体"/>
                <w:color w:val="000000"/>
                <w:kern w:val="0"/>
                <w:sz w:val="22"/>
              </w:rPr>
              <w:t>最新政策动态，开展</w:t>
            </w:r>
            <w:r>
              <w:rPr>
                <w:rFonts w:hint="eastAsia" w:ascii="仿宋_GB2312" w:hAnsi="等线" w:eastAsia="仿宋_GB2312" w:cs="宋体"/>
                <w:color w:val="000000"/>
                <w:kern w:val="0"/>
                <w:sz w:val="22"/>
              </w:rPr>
              <w:t>国家融资担保基金</w:t>
            </w:r>
            <w:r>
              <w:rPr>
                <w:rFonts w:ascii="仿宋_GB2312" w:hAnsi="等线" w:eastAsia="仿宋_GB2312" w:cs="宋体"/>
                <w:color w:val="000000"/>
                <w:kern w:val="0"/>
                <w:sz w:val="22"/>
              </w:rPr>
              <w:t>业务合作；</w:t>
            </w:r>
          </w:p>
          <w:p w14:paraId="54725F43">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3.负责做好业务规划，</w:t>
            </w:r>
            <w:r>
              <w:rPr>
                <w:rFonts w:hint="eastAsia" w:ascii="仿宋_GB2312" w:hAnsi="等线" w:eastAsia="仿宋_GB2312" w:cs="宋体"/>
                <w:color w:val="000000"/>
                <w:kern w:val="0"/>
                <w:sz w:val="22"/>
                <w:lang w:eastAsia="zh-CN"/>
              </w:rPr>
              <w:t>拟订</w:t>
            </w:r>
            <w:r>
              <w:rPr>
                <w:rFonts w:ascii="仿宋_GB2312" w:hAnsi="等线" w:eastAsia="仿宋_GB2312" w:cs="宋体"/>
                <w:color w:val="000000"/>
                <w:kern w:val="0"/>
                <w:sz w:val="22"/>
              </w:rPr>
              <w:t>业务政策，进行授信额度管理；</w:t>
            </w:r>
          </w:p>
          <w:p w14:paraId="0BC8410E">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4.协助业务数据的统计、分析及台账管理；</w:t>
            </w:r>
          </w:p>
          <w:p w14:paraId="5841765A">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5.完成</w:t>
            </w:r>
            <w:bookmarkStart w:id="0" w:name="OLE_LINK11"/>
            <w:r>
              <w:rPr>
                <w:rFonts w:hint="eastAsia" w:ascii="仿宋_GB2312" w:hAnsi="等线" w:eastAsia="仿宋_GB2312" w:cs="宋体"/>
                <w:color w:val="000000"/>
                <w:kern w:val="0"/>
                <w:sz w:val="22"/>
              </w:rPr>
              <w:t>交办</w:t>
            </w:r>
            <w:bookmarkEnd w:id="0"/>
            <w:r>
              <w:rPr>
                <w:rFonts w:ascii="仿宋_GB2312" w:hAnsi="等线" w:eastAsia="仿宋_GB2312" w:cs="宋体"/>
                <w:color w:val="000000"/>
                <w:kern w:val="0"/>
                <w:sz w:val="22"/>
              </w:rPr>
              <w:t>的其他工作。</w:t>
            </w:r>
          </w:p>
        </w:tc>
        <w:tc>
          <w:tcPr>
            <w:tcW w:w="1397" w:type="dxa"/>
            <w:gridSpan w:val="2"/>
            <w:tcBorders>
              <w:top w:val="nil"/>
              <w:left w:val="nil"/>
              <w:bottom w:val="single" w:color="auto" w:sz="4" w:space="0"/>
              <w:right w:val="single" w:color="auto" w:sz="4" w:space="0"/>
            </w:tcBorders>
            <w:shd w:val="clear" w:color="auto" w:fill="auto"/>
            <w:vAlign w:val="center"/>
          </w:tcPr>
          <w:p w14:paraId="51295FAC">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经济、金融、文学、数学、农学、工学等相关专业</w:t>
            </w:r>
          </w:p>
        </w:tc>
        <w:tc>
          <w:tcPr>
            <w:tcW w:w="3686" w:type="dxa"/>
            <w:tcBorders>
              <w:top w:val="nil"/>
              <w:left w:val="nil"/>
              <w:bottom w:val="single" w:color="auto" w:sz="4" w:space="0"/>
              <w:right w:val="single" w:color="auto" w:sz="4" w:space="0"/>
            </w:tcBorders>
            <w:shd w:val="clear" w:color="auto" w:fill="auto"/>
            <w:vAlign w:val="center"/>
          </w:tcPr>
          <w:p w14:paraId="1D76602A">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1.具有较强的沟通协调能力；</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2.具有较强的创新意识和团队协作精神；</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3.有相关社会实践经验者优先。</w:t>
            </w:r>
          </w:p>
        </w:tc>
      </w:tr>
      <w:tr w14:paraId="174BD0EB">
        <w:tblPrEx>
          <w:tblCellMar>
            <w:top w:w="0" w:type="dxa"/>
            <w:left w:w="108" w:type="dxa"/>
            <w:bottom w:w="0" w:type="dxa"/>
            <w:right w:w="108" w:type="dxa"/>
          </w:tblCellMar>
        </w:tblPrEx>
        <w:trPr>
          <w:gridAfter w:val="2"/>
          <w:wAfter w:w="519" w:type="dxa"/>
          <w:trHeight w:val="208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EC42086">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2</w:t>
            </w:r>
          </w:p>
        </w:tc>
        <w:tc>
          <w:tcPr>
            <w:tcW w:w="736" w:type="dxa"/>
            <w:tcBorders>
              <w:top w:val="nil"/>
              <w:left w:val="nil"/>
              <w:bottom w:val="single" w:color="auto" w:sz="4" w:space="0"/>
              <w:right w:val="single" w:color="auto" w:sz="4" w:space="0"/>
            </w:tcBorders>
            <w:shd w:val="clear" w:color="auto" w:fill="auto"/>
            <w:vAlign w:val="center"/>
          </w:tcPr>
          <w:p w14:paraId="140DBC7E">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四川省信用再担保有限公司</w:t>
            </w:r>
          </w:p>
        </w:tc>
        <w:tc>
          <w:tcPr>
            <w:tcW w:w="709" w:type="dxa"/>
            <w:tcBorders>
              <w:top w:val="nil"/>
              <w:left w:val="nil"/>
              <w:bottom w:val="single" w:color="auto" w:sz="4" w:space="0"/>
              <w:right w:val="single" w:color="auto" w:sz="4" w:space="0"/>
            </w:tcBorders>
            <w:shd w:val="clear" w:color="auto" w:fill="auto"/>
            <w:vAlign w:val="center"/>
          </w:tcPr>
          <w:p w14:paraId="364274DB">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风控经理岗</w:t>
            </w:r>
          </w:p>
        </w:tc>
        <w:tc>
          <w:tcPr>
            <w:tcW w:w="709" w:type="dxa"/>
            <w:tcBorders>
              <w:top w:val="nil"/>
              <w:left w:val="nil"/>
              <w:bottom w:val="single" w:color="auto" w:sz="4" w:space="0"/>
              <w:right w:val="single" w:color="auto" w:sz="4" w:space="0"/>
            </w:tcBorders>
            <w:shd w:val="clear" w:color="auto" w:fill="auto"/>
            <w:vAlign w:val="center"/>
          </w:tcPr>
          <w:p w14:paraId="1E4FF658">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5244" w:type="dxa"/>
            <w:tcBorders>
              <w:top w:val="nil"/>
              <w:left w:val="nil"/>
              <w:bottom w:val="single" w:color="auto" w:sz="4" w:space="0"/>
              <w:right w:val="single" w:color="auto" w:sz="4" w:space="0"/>
            </w:tcBorders>
            <w:shd w:val="clear" w:color="auto" w:fill="auto"/>
            <w:vAlign w:val="center"/>
          </w:tcPr>
          <w:p w14:paraId="65A7AC4C">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1.代偿补偿项目审查；</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2.代偿补偿项目追偿管理；</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w:t>
            </w:r>
            <w:r>
              <w:rPr>
                <w:rFonts w:hint="eastAsia" w:ascii="仿宋_GB2312" w:hAnsi="等线" w:eastAsia="仿宋_GB2312" w:cs="宋体"/>
                <w:color w:val="000000"/>
                <w:kern w:val="0"/>
                <w:sz w:val="22"/>
                <w:lang w:eastAsia="zh-CN"/>
              </w:rPr>
              <w:t>拟订</w:t>
            </w:r>
            <w:r>
              <w:rPr>
                <w:rFonts w:hint="eastAsia" w:ascii="仿宋_GB2312" w:hAnsi="等线" w:eastAsia="仿宋_GB2312" w:cs="宋体"/>
                <w:color w:val="000000"/>
                <w:kern w:val="0"/>
                <w:sz w:val="22"/>
              </w:rPr>
              <w:t>风险管理有关管理制度；</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4.对与公司开展业务合作的融资担保（再）担保机构开展持续的动态风险监测；</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5.完成交办的其他工作。</w:t>
            </w:r>
          </w:p>
        </w:tc>
        <w:tc>
          <w:tcPr>
            <w:tcW w:w="1397" w:type="dxa"/>
            <w:gridSpan w:val="2"/>
            <w:tcBorders>
              <w:top w:val="nil"/>
              <w:left w:val="nil"/>
              <w:bottom w:val="single" w:color="auto" w:sz="4" w:space="0"/>
              <w:right w:val="single" w:color="auto" w:sz="4" w:space="0"/>
            </w:tcBorders>
            <w:shd w:val="clear" w:color="auto" w:fill="auto"/>
            <w:vAlign w:val="center"/>
          </w:tcPr>
          <w:p w14:paraId="6E4BA161">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财务、法学等相关专业</w:t>
            </w:r>
          </w:p>
        </w:tc>
        <w:tc>
          <w:tcPr>
            <w:tcW w:w="3686" w:type="dxa"/>
            <w:tcBorders>
              <w:top w:val="nil"/>
              <w:left w:val="nil"/>
              <w:bottom w:val="single" w:color="auto" w:sz="4" w:space="0"/>
              <w:right w:val="single" w:color="auto" w:sz="4" w:space="0"/>
            </w:tcBorders>
            <w:shd w:val="clear" w:color="auto" w:fill="auto"/>
            <w:vAlign w:val="center"/>
          </w:tcPr>
          <w:p w14:paraId="050E0ED3">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1.作风严谨细致，具</w:t>
            </w:r>
            <w:bookmarkStart w:id="1" w:name="OLE_LINK13"/>
            <w:r>
              <w:rPr>
                <w:rFonts w:hint="eastAsia" w:ascii="仿宋_GB2312" w:hAnsi="等线" w:eastAsia="仿宋_GB2312" w:cs="宋体"/>
                <w:color w:val="000000"/>
                <w:kern w:val="0"/>
                <w:sz w:val="22"/>
              </w:rPr>
              <w:t>有</w:t>
            </w:r>
            <w:bookmarkEnd w:id="1"/>
            <w:r>
              <w:rPr>
                <w:rFonts w:hint="eastAsia" w:ascii="仿宋_GB2312" w:hAnsi="等线" w:eastAsia="仿宋_GB2312" w:cs="宋体"/>
                <w:color w:val="000000"/>
                <w:kern w:val="0"/>
                <w:sz w:val="22"/>
              </w:rPr>
              <w:t>较强的学习能力和执行力；</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2.具有较强的沟通协调能力以及文稿撰写能力；</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3.具备良好的财务、法律知识积累，持有CPA（注册会计师）或国家法律职业资格证书（A证）优先。</w:t>
            </w:r>
          </w:p>
        </w:tc>
      </w:tr>
      <w:tr w14:paraId="6F139D51">
        <w:tblPrEx>
          <w:tblCellMar>
            <w:top w:w="0" w:type="dxa"/>
            <w:left w:w="108" w:type="dxa"/>
            <w:bottom w:w="0" w:type="dxa"/>
            <w:right w:w="108" w:type="dxa"/>
          </w:tblCellMar>
        </w:tblPrEx>
        <w:trPr>
          <w:gridAfter w:val="2"/>
          <w:wAfter w:w="519" w:type="dxa"/>
          <w:trHeight w:val="223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BF01ECB">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3</w:t>
            </w:r>
          </w:p>
        </w:tc>
        <w:tc>
          <w:tcPr>
            <w:tcW w:w="736" w:type="dxa"/>
            <w:tcBorders>
              <w:top w:val="nil"/>
              <w:left w:val="nil"/>
              <w:bottom w:val="single" w:color="auto" w:sz="4" w:space="0"/>
              <w:right w:val="single" w:color="auto" w:sz="4" w:space="0"/>
            </w:tcBorders>
            <w:shd w:val="clear" w:color="auto" w:fill="auto"/>
            <w:vAlign w:val="center"/>
          </w:tcPr>
          <w:p w14:paraId="1F76F0F9">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四川省信用再担保有限公司</w:t>
            </w:r>
          </w:p>
        </w:tc>
        <w:tc>
          <w:tcPr>
            <w:tcW w:w="709" w:type="dxa"/>
            <w:tcBorders>
              <w:top w:val="nil"/>
              <w:left w:val="nil"/>
              <w:bottom w:val="single" w:color="auto" w:sz="4" w:space="0"/>
              <w:right w:val="single" w:color="auto" w:sz="4" w:space="0"/>
            </w:tcBorders>
            <w:shd w:val="clear" w:color="auto" w:fill="auto"/>
            <w:vAlign w:val="center"/>
          </w:tcPr>
          <w:p w14:paraId="2BF59BAD">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纪检监察岗</w:t>
            </w:r>
          </w:p>
        </w:tc>
        <w:tc>
          <w:tcPr>
            <w:tcW w:w="709" w:type="dxa"/>
            <w:tcBorders>
              <w:top w:val="nil"/>
              <w:left w:val="nil"/>
              <w:bottom w:val="single" w:color="auto" w:sz="4" w:space="0"/>
              <w:right w:val="single" w:color="auto" w:sz="4" w:space="0"/>
            </w:tcBorders>
            <w:shd w:val="clear" w:color="auto" w:fill="auto"/>
            <w:vAlign w:val="center"/>
          </w:tcPr>
          <w:p w14:paraId="57150DF2">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5244" w:type="dxa"/>
            <w:tcBorders>
              <w:top w:val="nil"/>
              <w:left w:val="nil"/>
              <w:bottom w:val="single" w:color="auto" w:sz="4" w:space="0"/>
              <w:right w:val="single" w:color="auto" w:sz="4" w:space="0"/>
            </w:tcBorders>
            <w:shd w:val="clear" w:color="auto" w:fill="auto"/>
            <w:vAlign w:val="center"/>
          </w:tcPr>
          <w:p w14:paraId="54F7886C">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r>
              <w:rPr>
                <w:rFonts w:hint="eastAsia" w:ascii="仿宋_GB2312" w:hAnsi="等线" w:eastAsia="仿宋_GB2312" w:cs="宋体"/>
                <w:color w:val="000000"/>
                <w:kern w:val="0"/>
                <w:sz w:val="22"/>
                <w:lang w:eastAsia="zh-CN"/>
              </w:rPr>
              <w:t>拟订</w:t>
            </w:r>
            <w:r>
              <w:rPr>
                <w:rFonts w:hint="eastAsia" w:ascii="仿宋_GB2312" w:hAnsi="等线" w:eastAsia="仿宋_GB2312" w:cs="宋体"/>
                <w:color w:val="000000"/>
                <w:kern w:val="0"/>
                <w:sz w:val="22"/>
              </w:rPr>
              <w:t>纪检监察有关制度；</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2.组织开展政治监督、日常监督等监督执纪和党风廉政风险防控工作；</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3.起草纪检监察工作有关文字材料并负责有关会议的会务组织实施等工作；</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4.组织开展党风廉政警示教育；</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5.完成交办的其他工作。</w:t>
            </w:r>
          </w:p>
        </w:tc>
        <w:tc>
          <w:tcPr>
            <w:tcW w:w="1397" w:type="dxa"/>
            <w:gridSpan w:val="2"/>
            <w:tcBorders>
              <w:top w:val="nil"/>
              <w:left w:val="nil"/>
              <w:bottom w:val="single" w:color="auto" w:sz="4" w:space="0"/>
              <w:right w:val="single" w:color="auto" w:sz="4" w:space="0"/>
            </w:tcBorders>
            <w:shd w:val="clear" w:color="auto" w:fill="auto"/>
            <w:vAlign w:val="center"/>
          </w:tcPr>
          <w:p w14:paraId="33B9F295">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法学、哲学、</w:t>
            </w:r>
            <w:bookmarkStart w:id="2" w:name="OLE_LINK31"/>
            <w:bookmarkStart w:id="3" w:name="OLE_LINK30"/>
            <w:r>
              <w:rPr>
                <w:rFonts w:hint="eastAsia" w:ascii="仿宋_GB2312" w:hAnsi="等线" w:eastAsia="仿宋_GB2312" w:cs="宋体"/>
                <w:color w:val="000000"/>
                <w:kern w:val="0"/>
                <w:sz w:val="22"/>
              </w:rPr>
              <w:t>汉语言文学</w:t>
            </w:r>
            <w:bookmarkEnd w:id="2"/>
            <w:bookmarkEnd w:id="3"/>
            <w:r>
              <w:rPr>
                <w:rFonts w:hint="eastAsia" w:ascii="仿宋_GB2312" w:hAnsi="等线" w:eastAsia="仿宋_GB2312" w:cs="宋体"/>
                <w:color w:val="000000"/>
                <w:kern w:val="0"/>
                <w:sz w:val="22"/>
              </w:rPr>
              <w:t>、历史、马克思主义理论等相关专业</w:t>
            </w:r>
          </w:p>
        </w:tc>
        <w:tc>
          <w:tcPr>
            <w:tcW w:w="3686" w:type="dxa"/>
            <w:tcBorders>
              <w:top w:val="nil"/>
              <w:left w:val="nil"/>
              <w:bottom w:val="single" w:color="auto" w:sz="4" w:space="0"/>
              <w:right w:val="single" w:color="auto" w:sz="4" w:space="0"/>
            </w:tcBorders>
            <w:shd w:val="clear" w:color="auto" w:fill="auto"/>
            <w:vAlign w:val="center"/>
          </w:tcPr>
          <w:p w14:paraId="3CB2C4D0">
            <w:pPr>
              <w:widowControl/>
              <w:jc w:val="left"/>
              <w:rPr>
                <w:rFonts w:ascii="仿宋_GB2312" w:hAnsi="等线" w:eastAsia="仿宋_GB2312" w:cs="宋体"/>
                <w:color w:val="000000"/>
                <w:kern w:val="0"/>
                <w:sz w:val="22"/>
              </w:rPr>
            </w:pPr>
            <w:bookmarkStart w:id="4" w:name="OLE_LINK12"/>
            <w:r>
              <w:rPr>
                <w:rFonts w:hint="eastAsia" w:ascii="仿宋_GB2312" w:hAnsi="等线" w:eastAsia="仿宋_GB2312" w:cs="宋体"/>
                <w:color w:val="000000"/>
                <w:kern w:val="0"/>
                <w:sz w:val="22"/>
              </w:rPr>
              <w:t>1.中共党员；</w:t>
            </w:r>
            <w:r>
              <w:rPr>
                <w:rFonts w:hint="eastAsia" w:ascii="仿宋_GB2312" w:hAnsi="等线" w:eastAsia="仿宋_GB2312" w:cs="宋体"/>
                <w:color w:val="000000"/>
                <w:kern w:val="0"/>
                <w:sz w:val="22"/>
              </w:rPr>
              <w:br w:type="textWrapping"/>
            </w:r>
            <w:r>
              <w:rPr>
                <w:rFonts w:ascii="仿宋_GB2312" w:hAnsi="等线" w:eastAsia="仿宋_GB2312" w:cs="宋体"/>
                <w:color w:val="000000"/>
                <w:kern w:val="0"/>
                <w:sz w:val="22"/>
              </w:rPr>
              <w:t>2.</w:t>
            </w:r>
            <w:r>
              <w:rPr>
                <w:rFonts w:hint="eastAsia" w:ascii="仿宋_GB2312" w:hAnsi="等线" w:eastAsia="仿宋_GB2312" w:cs="宋体"/>
                <w:color w:val="000000"/>
                <w:kern w:val="0"/>
                <w:sz w:val="22"/>
              </w:rPr>
              <w:t>作风严谨细致，具有较强的学习能力和执行力；</w:t>
            </w:r>
          </w:p>
          <w:p w14:paraId="0FDFA5DF">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3</w:t>
            </w:r>
            <w:r>
              <w:rPr>
                <w:rFonts w:hint="eastAsia" w:ascii="仿宋_GB2312" w:hAnsi="等线" w:eastAsia="仿宋_GB2312" w:cs="宋体"/>
                <w:color w:val="000000"/>
                <w:kern w:val="0"/>
                <w:sz w:val="22"/>
              </w:rPr>
              <w:t xml:space="preserve">.具有较强的沟通协调能力以及文稿撰写能力； </w:t>
            </w:r>
            <w:r>
              <w:rPr>
                <w:rFonts w:hint="eastAsia" w:ascii="仿宋_GB2312" w:hAnsi="等线" w:eastAsia="仿宋_GB2312" w:cs="宋体"/>
                <w:color w:val="000000"/>
                <w:kern w:val="0"/>
                <w:sz w:val="22"/>
              </w:rPr>
              <w:br w:type="textWrapping"/>
            </w:r>
            <w:r>
              <w:rPr>
                <w:rFonts w:ascii="仿宋_GB2312" w:hAnsi="等线" w:eastAsia="仿宋_GB2312" w:cs="宋体"/>
                <w:color w:val="000000"/>
                <w:kern w:val="0"/>
                <w:sz w:val="22"/>
              </w:rPr>
              <w:t>4</w:t>
            </w:r>
            <w:r>
              <w:rPr>
                <w:rFonts w:hint="eastAsia" w:ascii="仿宋_GB2312" w:hAnsi="等线" w:eastAsia="仿宋_GB2312" w:cs="宋体"/>
                <w:color w:val="000000"/>
                <w:kern w:val="0"/>
                <w:sz w:val="22"/>
              </w:rPr>
              <w:t xml:space="preserve">.热爱党务纪检工作，具有行政事业、大型国企党务实习经历的优先。 </w:t>
            </w:r>
            <w:bookmarkEnd w:id="4"/>
          </w:p>
        </w:tc>
      </w:tr>
      <w:tr w14:paraId="5D8DAD4E">
        <w:tblPrEx>
          <w:tblCellMar>
            <w:top w:w="0" w:type="dxa"/>
            <w:left w:w="108" w:type="dxa"/>
            <w:bottom w:w="0" w:type="dxa"/>
            <w:right w:w="108" w:type="dxa"/>
          </w:tblCellMar>
        </w:tblPrEx>
        <w:trPr>
          <w:gridAfter w:val="2"/>
          <w:wAfter w:w="519" w:type="dxa"/>
          <w:trHeight w:val="303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AC9EAE7">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4</w:t>
            </w:r>
          </w:p>
        </w:tc>
        <w:tc>
          <w:tcPr>
            <w:tcW w:w="736" w:type="dxa"/>
            <w:tcBorders>
              <w:top w:val="nil"/>
              <w:left w:val="nil"/>
              <w:bottom w:val="single" w:color="auto" w:sz="4" w:space="0"/>
              <w:right w:val="single" w:color="auto" w:sz="4" w:space="0"/>
            </w:tcBorders>
            <w:shd w:val="clear" w:color="auto" w:fill="auto"/>
            <w:vAlign w:val="center"/>
          </w:tcPr>
          <w:p w14:paraId="0F511B98">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四川省信用再担保有限公司</w:t>
            </w:r>
          </w:p>
        </w:tc>
        <w:tc>
          <w:tcPr>
            <w:tcW w:w="709" w:type="dxa"/>
            <w:tcBorders>
              <w:top w:val="nil"/>
              <w:left w:val="nil"/>
              <w:bottom w:val="single" w:color="auto" w:sz="4" w:space="0"/>
              <w:right w:val="single" w:color="auto" w:sz="4" w:space="0"/>
            </w:tcBorders>
            <w:shd w:val="clear" w:color="auto" w:fill="auto"/>
            <w:vAlign w:val="center"/>
          </w:tcPr>
          <w:p w14:paraId="0AB9BE2D">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党务工作岗</w:t>
            </w:r>
          </w:p>
        </w:tc>
        <w:tc>
          <w:tcPr>
            <w:tcW w:w="709" w:type="dxa"/>
            <w:tcBorders>
              <w:top w:val="nil"/>
              <w:left w:val="nil"/>
              <w:bottom w:val="single" w:color="auto" w:sz="4" w:space="0"/>
              <w:right w:val="single" w:color="auto" w:sz="4" w:space="0"/>
            </w:tcBorders>
            <w:shd w:val="clear" w:color="auto" w:fill="auto"/>
            <w:vAlign w:val="center"/>
          </w:tcPr>
          <w:p w14:paraId="252B74C9">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5244" w:type="dxa"/>
            <w:tcBorders>
              <w:top w:val="nil"/>
              <w:left w:val="nil"/>
              <w:bottom w:val="single" w:color="auto" w:sz="4" w:space="0"/>
              <w:right w:val="single" w:color="auto" w:sz="4" w:space="0"/>
            </w:tcBorders>
            <w:shd w:val="clear" w:color="auto" w:fill="auto"/>
            <w:vAlign w:val="center"/>
          </w:tcPr>
          <w:p w14:paraId="0280BB6E">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1.负责</w:t>
            </w:r>
            <w:r>
              <w:rPr>
                <w:rFonts w:hint="eastAsia" w:ascii="仿宋_GB2312" w:hAnsi="等线" w:eastAsia="仿宋_GB2312" w:cs="宋体"/>
                <w:color w:val="000000"/>
                <w:kern w:val="0"/>
                <w:sz w:val="22"/>
                <w:lang w:eastAsia="zh-CN"/>
              </w:rPr>
              <w:t>拟订</w:t>
            </w:r>
            <w:r>
              <w:rPr>
                <w:rFonts w:hint="eastAsia" w:ascii="仿宋_GB2312" w:hAnsi="等线" w:eastAsia="仿宋_GB2312" w:cs="宋体"/>
                <w:color w:val="000000"/>
                <w:kern w:val="0"/>
                <w:sz w:val="22"/>
              </w:rPr>
              <w:t>公司党建工作制度、工作计划及工作要点；</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2.负责公司日常党建工作的开展，负责领导班子民主生活会、中心组学习等会议和重要党建活动的相关工作；</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3.负责公司基层党组织建设、党员队伍建设工作，抓好党员日常管理工作；</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4.负责公司思想政治建设、精神文明建设及企业文化建设工作；</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5.完成交办的其他工作。</w:t>
            </w:r>
          </w:p>
        </w:tc>
        <w:tc>
          <w:tcPr>
            <w:tcW w:w="1397" w:type="dxa"/>
            <w:gridSpan w:val="2"/>
            <w:tcBorders>
              <w:top w:val="nil"/>
              <w:left w:val="nil"/>
              <w:bottom w:val="single" w:color="auto" w:sz="4" w:space="0"/>
              <w:right w:val="single" w:color="auto" w:sz="4" w:space="0"/>
            </w:tcBorders>
            <w:shd w:val="clear" w:color="auto" w:fill="auto"/>
            <w:vAlign w:val="center"/>
          </w:tcPr>
          <w:p w14:paraId="30E3185E">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法学、哲学、汉语言文学、经济、金融、历史、马克思主义理论等相关专业</w:t>
            </w:r>
          </w:p>
        </w:tc>
        <w:tc>
          <w:tcPr>
            <w:tcW w:w="3686" w:type="dxa"/>
            <w:tcBorders>
              <w:top w:val="nil"/>
              <w:left w:val="nil"/>
              <w:bottom w:val="single" w:color="auto" w:sz="4" w:space="0"/>
              <w:right w:val="single" w:color="auto" w:sz="4" w:space="0"/>
            </w:tcBorders>
            <w:shd w:val="clear" w:color="auto" w:fill="auto"/>
            <w:vAlign w:val="center"/>
          </w:tcPr>
          <w:p w14:paraId="07B7B92F">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1.中共党员；</w:t>
            </w:r>
            <w:r>
              <w:rPr>
                <w:rFonts w:hint="eastAsia" w:ascii="仿宋_GB2312" w:hAnsi="等线" w:eastAsia="仿宋_GB2312" w:cs="宋体"/>
                <w:color w:val="000000"/>
                <w:kern w:val="0"/>
                <w:sz w:val="22"/>
              </w:rPr>
              <w:br w:type="textWrapping"/>
            </w:r>
            <w:r>
              <w:rPr>
                <w:rFonts w:ascii="仿宋_GB2312" w:hAnsi="等线" w:eastAsia="仿宋_GB2312" w:cs="宋体"/>
                <w:color w:val="000000"/>
                <w:kern w:val="0"/>
                <w:sz w:val="22"/>
              </w:rPr>
              <w:t>2.</w:t>
            </w:r>
            <w:r>
              <w:rPr>
                <w:rFonts w:hint="eastAsia" w:ascii="仿宋_GB2312" w:hAnsi="等线" w:eastAsia="仿宋_GB2312" w:cs="宋体"/>
                <w:color w:val="000000"/>
                <w:kern w:val="0"/>
                <w:sz w:val="22"/>
              </w:rPr>
              <w:t>作风严谨细致，具有较强的学习能力和执行力；</w:t>
            </w:r>
          </w:p>
          <w:p w14:paraId="02DE46E6">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3</w:t>
            </w:r>
            <w:r>
              <w:rPr>
                <w:rFonts w:hint="eastAsia" w:ascii="仿宋_GB2312" w:hAnsi="等线" w:eastAsia="仿宋_GB2312" w:cs="宋体"/>
                <w:color w:val="000000"/>
                <w:kern w:val="0"/>
                <w:sz w:val="22"/>
              </w:rPr>
              <w:t xml:space="preserve">.具有较强的沟通协调能力以及文稿撰写能力； </w:t>
            </w:r>
            <w:r>
              <w:rPr>
                <w:rFonts w:hint="eastAsia" w:ascii="仿宋_GB2312" w:hAnsi="等线" w:eastAsia="仿宋_GB2312" w:cs="宋体"/>
                <w:color w:val="000000"/>
                <w:kern w:val="0"/>
                <w:sz w:val="22"/>
              </w:rPr>
              <w:br w:type="textWrapping"/>
            </w:r>
            <w:r>
              <w:rPr>
                <w:rFonts w:ascii="仿宋_GB2312" w:hAnsi="等线" w:eastAsia="仿宋_GB2312" w:cs="宋体"/>
                <w:color w:val="000000"/>
                <w:kern w:val="0"/>
                <w:sz w:val="22"/>
              </w:rPr>
              <w:t>4</w:t>
            </w:r>
            <w:r>
              <w:rPr>
                <w:rFonts w:hint="eastAsia" w:ascii="仿宋_GB2312" w:hAnsi="等线" w:eastAsia="仿宋_GB2312" w:cs="宋体"/>
                <w:color w:val="000000"/>
                <w:kern w:val="0"/>
                <w:sz w:val="22"/>
              </w:rPr>
              <w:t>.热爱党务工作，具有行政事业、大型国企党务实习经历的优先。</w:t>
            </w:r>
          </w:p>
        </w:tc>
      </w:tr>
      <w:tr w14:paraId="7987B5BD">
        <w:tblPrEx>
          <w:tblCellMar>
            <w:top w:w="0" w:type="dxa"/>
            <w:left w:w="108" w:type="dxa"/>
            <w:bottom w:w="0" w:type="dxa"/>
            <w:right w:w="108" w:type="dxa"/>
          </w:tblCellMar>
        </w:tblPrEx>
        <w:trPr>
          <w:gridAfter w:val="2"/>
          <w:wAfter w:w="519" w:type="dxa"/>
          <w:trHeight w:val="284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3BEFAF8">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5</w:t>
            </w:r>
          </w:p>
        </w:tc>
        <w:tc>
          <w:tcPr>
            <w:tcW w:w="736" w:type="dxa"/>
            <w:tcBorders>
              <w:top w:val="nil"/>
              <w:left w:val="nil"/>
              <w:bottom w:val="single" w:color="auto" w:sz="4" w:space="0"/>
              <w:right w:val="single" w:color="auto" w:sz="4" w:space="0"/>
            </w:tcBorders>
            <w:shd w:val="clear" w:color="auto" w:fill="auto"/>
            <w:vAlign w:val="center"/>
          </w:tcPr>
          <w:p w14:paraId="1DCC38A6">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四川省信用再担保有限公司</w:t>
            </w:r>
          </w:p>
        </w:tc>
        <w:tc>
          <w:tcPr>
            <w:tcW w:w="709" w:type="dxa"/>
            <w:tcBorders>
              <w:top w:val="nil"/>
              <w:left w:val="nil"/>
              <w:bottom w:val="single" w:color="auto" w:sz="4" w:space="0"/>
              <w:right w:val="single" w:color="auto" w:sz="4" w:space="0"/>
            </w:tcBorders>
            <w:shd w:val="clear" w:color="auto" w:fill="auto"/>
            <w:vAlign w:val="center"/>
          </w:tcPr>
          <w:p w14:paraId="0BCE83CB">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政策研究岗</w:t>
            </w:r>
          </w:p>
        </w:tc>
        <w:tc>
          <w:tcPr>
            <w:tcW w:w="709" w:type="dxa"/>
            <w:tcBorders>
              <w:top w:val="nil"/>
              <w:left w:val="nil"/>
              <w:bottom w:val="single" w:color="auto" w:sz="4" w:space="0"/>
              <w:right w:val="single" w:color="auto" w:sz="4" w:space="0"/>
            </w:tcBorders>
            <w:shd w:val="clear" w:color="auto" w:fill="auto"/>
            <w:vAlign w:val="center"/>
          </w:tcPr>
          <w:p w14:paraId="7480BC93">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5244" w:type="dxa"/>
            <w:tcBorders>
              <w:top w:val="nil"/>
              <w:left w:val="nil"/>
              <w:bottom w:val="single" w:color="auto" w:sz="4" w:space="0"/>
              <w:right w:val="single" w:color="auto" w:sz="4" w:space="0"/>
            </w:tcBorders>
            <w:shd w:val="clear" w:color="auto" w:fill="auto"/>
            <w:vAlign w:val="center"/>
          </w:tcPr>
          <w:p w14:paraId="7AACC5D0">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1.负责公司的战略管理，</w:t>
            </w:r>
            <w:r>
              <w:rPr>
                <w:rFonts w:hint="eastAsia" w:ascii="仿宋_GB2312" w:hAnsi="等线" w:eastAsia="仿宋_GB2312" w:cs="宋体"/>
                <w:color w:val="000000"/>
                <w:kern w:val="0"/>
                <w:sz w:val="22"/>
                <w:lang w:eastAsia="zh-CN"/>
              </w:rPr>
              <w:t>拟订</w:t>
            </w:r>
            <w:r>
              <w:rPr>
                <w:rFonts w:hint="eastAsia" w:ascii="仿宋_GB2312" w:hAnsi="等线" w:eastAsia="仿宋_GB2312" w:cs="宋体"/>
                <w:color w:val="000000"/>
                <w:kern w:val="0"/>
                <w:sz w:val="22"/>
              </w:rPr>
              <w:t>年度经营计划，并做好经营业绩目标管理；</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2.负责跟踪、收集、分析有关宏观经济、行业动态等方面的政策及信息；</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3.负责与国家融担基金、政府部门、银行、行业协会等的战略合作，推动建立新型政银担合作机制；</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4.负责研究、推动全省政府性融资担保体系建设工作；</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5.完成交办的其他工作。</w:t>
            </w:r>
          </w:p>
        </w:tc>
        <w:tc>
          <w:tcPr>
            <w:tcW w:w="1397" w:type="dxa"/>
            <w:gridSpan w:val="2"/>
            <w:tcBorders>
              <w:top w:val="nil"/>
              <w:left w:val="nil"/>
              <w:bottom w:val="single" w:color="auto" w:sz="4" w:space="0"/>
              <w:right w:val="single" w:color="auto" w:sz="4" w:space="0"/>
            </w:tcBorders>
            <w:shd w:val="clear" w:color="auto" w:fill="auto"/>
            <w:vAlign w:val="center"/>
          </w:tcPr>
          <w:p w14:paraId="3B2E63DC">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经济、财政、金融等相关专业</w:t>
            </w:r>
          </w:p>
        </w:tc>
        <w:tc>
          <w:tcPr>
            <w:tcW w:w="3686" w:type="dxa"/>
            <w:tcBorders>
              <w:top w:val="nil"/>
              <w:left w:val="nil"/>
              <w:bottom w:val="single" w:color="auto" w:sz="4" w:space="0"/>
              <w:right w:val="single" w:color="auto" w:sz="4" w:space="0"/>
            </w:tcBorders>
            <w:shd w:val="clear" w:color="auto" w:fill="auto"/>
            <w:vAlign w:val="center"/>
          </w:tcPr>
          <w:p w14:paraId="2268F2F6">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1.具有较强的逻辑分析和沟通协调能力，文稿撰写能力强；</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2.持有FRM（金融风险管理师）、CFA（特许金融分析师）优先；</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3.具有金融机构、上市公司股权管理实习经历的优先。</w:t>
            </w:r>
          </w:p>
        </w:tc>
      </w:tr>
      <w:tr w14:paraId="1F709C8F">
        <w:tblPrEx>
          <w:tblCellMar>
            <w:top w:w="0" w:type="dxa"/>
            <w:left w:w="108" w:type="dxa"/>
            <w:bottom w:w="0" w:type="dxa"/>
            <w:right w:w="108" w:type="dxa"/>
          </w:tblCellMar>
        </w:tblPrEx>
        <w:trPr>
          <w:gridAfter w:val="2"/>
          <w:wAfter w:w="519" w:type="dxa"/>
          <w:trHeight w:val="230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75E3CEE">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6</w:t>
            </w:r>
          </w:p>
        </w:tc>
        <w:tc>
          <w:tcPr>
            <w:tcW w:w="736" w:type="dxa"/>
            <w:tcBorders>
              <w:top w:val="nil"/>
              <w:left w:val="nil"/>
              <w:bottom w:val="single" w:color="auto" w:sz="4" w:space="0"/>
              <w:right w:val="single" w:color="auto" w:sz="4" w:space="0"/>
            </w:tcBorders>
            <w:shd w:val="clear" w:color="auto" w:fill="auto"/>
            <w:vAlign w:val="center"/>
          </w:tcPr>
          <w:p w14:paraId="60DFBE97">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四川省信用再担保有限公司</w:t>
            </w:r>
          </w:p>
        </w:tc>
        <w:tc>
          <w:tcPr>
            <w:tcW w:w="709" w:type="dxa"/>
            <w:tcBorders>
              <w:top w:val="nil"/>
              <w:left w:val="nil"/>
              <w:bottom w:val="single" w:color="auto" w:sz="4" w:space="0"/>
              <w:right w:val="single" w:color="auto" w:sz="4" w:space="0"/>
            </w:tcBorders>
            <w:shd w:val="clear" w:color="auto" w:fill="auto"/>
            <w:vAlign w:val="center"/>
          </w:tcPr>
          <w:p w14:paraId="549D17D9">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法务管理岗</w:t>
            </w:r>
          </w:p>
        </w:tc>
        <w:tc>
          <w:tcPr>
            <w:tcW w:w="709" w:type="dxa"/>
            <w:tcBorders>
              <w:top w:val="nil"/>
              <w:left w:val="nil"/>
              <w:bottom w:val="single" w:color="auto" w:sz="4" w:space="0"/>
              <w:right w:val="single" w:color="auto" w:sz="4" w:space="0"/>
            </w:tcBorders>
            <w:shd w:val="clear" w:color="auto" w:fill="auto"/>
            <w:vAlign w:val="center"/>
          </w:tcPr>
          <w:p w14:paraId="466733A8">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5244" w:type="dxa"/>
            <w:tcBorders>
              <w:top w:val="nil"/>
              <w:left w:val="nil"/>
              <w:bottom w:val="single" w:color="auto" w:sz="4" w:space="0"/>
              <w:right w:val="single" w:color="auto" w:sz="4" w:space="0"/>
            </w:tcBorders>
            <w:shd w:val="clear" w:color="auto" w:fill="auto"/>
            <w:vAlign w:val="center"/>
          </w:tcPr>
          <w:p w14:paraId="74241023">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1.负责</w:t>
            </w:r>
            <w:r>
              <w:rPr>
                <w:rFonts w:hint="eastAsia" w:ascii="仿宋_GB2312" w:hAnsi="等线" w:eastAsia="仿宋_GB2312" w:cs="宋体"/>
                <w:color w:val="000000"/>
                <w:kern w:val="0"/>
                <w:sz w:val="22"/>
              </w:rPr>
              <w:t>公司</w:t>
            </w:r>
            <w:r>
              <w:rPr>
                <w:rFonts w:ascii="仿宋_GB2312" w:hAnsi="等线" w:eastAsia="仿宋_GB2312" w:cs="宋体"/>
                <w:color w:val="000000"/>
                <w:kern w:val="0"/>
                <w:sz w:val="22"/>
              </w:rPr>
              <w:t>法律事务管理，为公司日常经营管理提供法律咨询；</w:t>
            </w:r>
          </w:p>
          <w:p w14:paraId="4469D45A">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2.负责牵头处理</w:t>
            </w:r>
            <w:r>
              <w:rPr>
                <w:rFonts w:hint="eastAsia" w:ascii="仿宋_GB2312" w:hAnsi="等线" w:eastAsia="仿宋_GB2312" w:cs="宋体"/>
                <w:color w:val="000000"/>
                <w:kern w:val="0"/>
                <w:sz w:val="22"/>
              </w:rPr>
              <w:t>公司</w:t>
            </w:r>
            <w:r>
              <w:rPr>
                <w:rFonts w:ascii="仿宋_GB2312" w:hAnsi="等线" w:eastAsia="仿宋_GB2312" w:cs="宋体"/>
                <w:color w:val="000000"/>
                <w:kern w:val="0"/>
                <w:sz w:val="22"/>
              </w:rPr>
              <w:t>各类法律纠纷、诉讼仲裁案件等；</w:t>
            </w:r>
          </w:p>
          <w:p w14:paraId="52935A94">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3.负责对公司规章制度、合同及法律文件、重大事项决策进行合</w:t>
            </w:r>
            <w:r>
              <w:rPr>
                <w:rFonts w:hint="eastAsia" w:ascii="仿宋_GB2312" w:hAnsi="等线" w:eastAsia="仿宋_GB2312" w:cs="宋体"/>
                <w:color w:val="000000"/>
                <w:kern w:val="0"/>
                <w:sz w:val="22"/>
              </w:rPr>
              <w:t>法</w:t>
            </w:r>
            <w:r>
              <w:rPr>
                <w:rFonts w:ascii="仿宋_GB2312" w:hAnsi="等线" w:eastAsia="仿宋_GB2312" w:cs="宋体"/>
                <w:color w:val="000000"/>
                <w:kern w:val="0"/>
                <w:sz w:val="22"/>
              </w:rPr>
              <w:t>性、合</w:t>
            </w:r>
            <w:r>
              <w:rPr>
                <w:rFonts w:hint="eastAsia" w:ascii="仿宋_GB2312" w:hAnsi="等线" w:eastAsia="仿宋_GB2312" w:cs="宋体"/>
                <w:color w:val="000000"/>
                <w:kern w:val="0"/>
                <w:sz w:val="22"/>
              </w:rPr>
              <w:t>规</w:t>
            </w:r>
            <w:r>
              <w:rPr>
                <w:rFonts w:ascii="仿宋_GB2312" w:hAnsi="等线" w:eastAsia="仿宋_GB2312" w:cs="宋体"/>
                <w:color w:val="000000"/>
                <w:kern w:val="0"/>
                <w:sz w:val="22"/>
              </w:rPr>
              <w:t>性审查；</w:t>
            </w:r>
          </w:p>
          <w:p w14:paraId="0A8BAA1C">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4.负责公司法律风险的识别、评估、监测、报告，并提出防范和化解措施；</w:t>
            </w:r>
          </w:p>
          <w:p w14:paraId="4C1B771B">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5.完成</w:t>
            </w:r>
            <w:r>
              <w:rPr>
                <w:rFonts w:hint="eastAsia" w:ascii="仿宋_GB2312" w:hAnsi="等线" w:eastAsia="仿宋_GB2312" w:cs="宋体"/>
                <w:color w:val="000000"/>
                <w:kern w:val="0"/>
                <w:sz w:val="22"/>
              </w:rPr>
              <w:t>交办</w:t>
            </w:r>
            <w:r>
              <w:rPr>
                <w:rFonts w:ascii="仿宋_GB2312" w:hAnsi="等线" w:eastAsia="仿宋_GB2312" w:cs="宋体"/>
                <w:color w:val="000000"/>
                <w:kern w:val="0"/>
                <w:sz w:val="22"/>
              </w:rPr>
              <w:t>的其他工作。</w:t>
            </w:r>
          </w:p>
        </w:tc>
        <w:tc>
          <w:tcPr>
            <w:tcW w:w="1397" w:type="dxa"/>
            <w:gridSpan w:val="2"/>
            <w:tcBorders>
              <w:top w:val="nil"/>
              <w:left w:val="nil"/>
              <w:bottom w:val="single" w:color="auto" w:sz="4" w:space="0"/>
              <w:right w:val="single" w:color="auto" w:sz="4" w:space="0"/>
            </w:tcBorders>
            <w:shd w:val="clear" w:color="auto" w:fill="auto"/>
            <w:vAlign w:val="center"/>
          </w:tcPr>
          <w:p w14:paraId="511C6D8E">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法学、经济、财政、金融、</w:t>
            </w:r>
            <w:bookmarkStart w:id="5" w:name="OLE_LINK33"/>
            <w:bookmarkStart w:id="6" w:name="OLE_LINK32"/>
            <w:r>
              <w:rPr>
                <w:rFonts w:hint="eastAsia" w:ascii="仿宋_GB2312" w:hAnsi="等线" w:eastAsia="仿宋_GB2312" w:cs="宋体"/>
                <w:color w:val="000000"/>
                <w:kern w:val="0"/>
                <w:sz w:val="22"/>
              </w:rPr>
              <w:t>审计</w:t>
            </w:r>
            <w:bookmarkEnd w:id="5"/>
            <w:bookmarkEnd w:id="6"/>
            <w:r>
              <w:rPr>
                <w:rFonts w:hint="eastAsia" w:ascii="仿宋_GB2312" w:hAnsi="等线" w:eastAsia="仿宋_GB2312" w:cs="宋体"/>
                <w:color w:val="000000"/>
                <w:kern w:val="0"/>
                <w:sz w:val="22"/>
              </w:rPr>
              <w:t>等相关专业</w:t>
            </w:r>
          </w:p>
        </w:tc>
        <w:tc>
          <w:tcPr>
            <w:tcW w:w="3686" w:type="dxa"/>
            <w:tcBorders>
              <w:top w:val="nil"/>
              <w:left w:val="nil"/>
              <w:bottom w:val="single" w:color="auto" w:sz="4" w:space="0"/>
              <w:right w:val="single" w:color="auto" w:sz="4" w:space="0"/>
            </w:tcBorders>
            <w:shd w:val="clear" w:color="auto" w:fill="auto"/>
            <w:vAlign w:val="center"/>
          </w:tcPr>
          <w:p w14:paraId="57C21249">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1.持有国家法律职业资格证书（A证），具</w:t>
            </w:r>
            <w:r>
              <w:rPr>
                <w:rFonts w:hint="eastAsia" w:ascii="仿宋_GB2312" w:hAnsi="等线" w:eastAsia="仿宋_GB2312" w:cs="宋体"/>
                <w:color w:val="000000"/>
                <w:kern w:val="0"/>
                <w:sz w:val="22"/>
              </w:rPr>
              <w:t>有</w:t>
            </w:r>
            <w:r>
              <w:rPr>
                <w:rFonts w:ascii="仿宋_GB2312" w:hAnsi="等线" w:eastAsia="仿宋_GB2312" w:cs="宋体"/>
                <w:color w:val="000000"/>
                <w:kern w:val="0"/>
                <w:sz w:val="22"/>
              </w:rPr>
              <w:t>较强的逻辑分析能力；</w:t>
            </w:r>
          </w:p>
          <w:p w14:paraId="21D1E063">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2.熟悉公司法、劳动法等优先；</w:t>
            </w:r>
          </w:p>
          <w:p w14:paraId="79E107B2">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3.持有FRM（金融风险管理师）、CFA（特许金融分析师）优先；</w:t>
            </w:r>
          </w:p>
          <w:p w14:paraId="4895C045">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4.具有国有企业、金融机构法务、风控或合规实习经历的优先。</w:t>
            </w:r>
          </w:p>
        </w:tc>
      </w:tr>
      <w:tr w14:paraId="28A2631B">
        <w:tblPrEx>
          <w:tblCellMar>
            <w:top w:w="0" w:type="dxa"/>
            <w:left w:w="108" w:type="dxa"/>
            <w:bottom w:w="0" w:type="dxa"/>
            <w:right w:w="108" w:type="dxa"/>
          </w:tblCellMar>
        </w:tblPrEx>
        <w:trPr>
          <w:gridAfter w:val="2"/>
          <w:wAfter w:w="519" w:type="dxa"/>
          <w:trHeight w:val="229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E484662">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7</w:t>
            </w:r>
          </w:p>
        </w:tc>
        <w:tc>
          <w:tcPr>
            <w:tcW w:w="736" w:type="dxa"/>
            <w:tcBorders>
              <w:top w:val="nil"/>
              <w:left w:val="nil"/>
              <w:bottom w:val="single" w:color="auto" w:sz="4" w:space="0"/>
              <w:right w:val="single" w:color="auto" w:sz="4" w:space="0"/>
            </w:tcBorders>
            <w:shd w:val="clear" w:color="auto" w:fill="auto"/>
            <w:vAlign w:val="center"/>
          </w:tcPr>
          <w:p w14:paraId="651B5D05">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四川省信用再担保有限公司</w:t>
            </w:r>
          </w:p>
        </w:tc>
        <w:tc>
          <w:tcPr>
            <w:tcW w:w="709" w:type="dxa"/>
            <w:tcBorders>
              <w:top w:val="nil"/>
              <w:left w:val="nil"/>
              <w:bottom w:val="single" w:color="auto" w:sz="4" w:space="0"/>
              <w:right w:val="single" w:color="auto" w:sz="4" w:space="0"/>
            </w:tcBorders>
            <w:shd w:val="clear" w:color="auto" w:fill="auto"/>
            <w:vAlign w:val="center"/>
          </w:tcPr>
          <w:p w14:paraId="1023D3C1">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主办会计岗</w:t>
            </w:r>
          </w:p>
        </w:tc>
        <w:tc>
          <w:tcPr>
            <w:tcW w:w="709" w:type="dxa"/>
            <w:tcBorders>
              <w:top w:val="nil"/>
              <w:left w:val="nil"/>
              <w:bottom w:val="single" w:color="auto" w:sz="4" w:space="0"/>
              <w:right w:val="single" w:color="auto" w:sz="4" w:space="0"/>
            </w:tcBorders>
            <w:shd w:val="clear" w:color="auto" w:fill="auto"/>
            <w:vAlign w:val="center"/>
          </w:tcPr>
          <w:p w14:paraId="0D213851">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5244" w:type="dxa"/>
            <w:tcBorders>
              <w:top w:val="nil"/>
              <w:left w:val="nil"/>
              <w:bottom w:val="single" w:color="auto" w:sz="4" w:space="0"/>
              <w:right w:val="single" w:color="auto" w:sz="4" w:space="0"/>
            </w:tcBorders>
            <w:shd w:val="clear" w:color="auto" w:fill="auto"/>
            <w:vAlign w:val="center"/>
          </w:tcPr>
          <w:p w14:paraId="10D34F5D">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1.负责会计核算、报表、会计档案管理；</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2.负责财务预算、决算及纳税申报等；</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3.负责对公司财务运行情况进行分析并提出建议；</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4.完成交办的其他工作。</w:t>
            </w:r>
          </w:p>
        </w:tc>
        <w:tc>
          <w:tcPr>
            <w:tcW w:w="1397" w:type="dxa"/>
            <w:gridSpan w:val="2"/>
            <w:tcBorders>
              <w:top w:val="nil"/>
              <w:left w:val="nil"/>
              <w:bottom w:val="single" w:color="auto" w:sz="4" w:space="0"/>
              <w:right w:val="single" w:color="auto" w:sz="4" w:space="0"/>
            </w:tcBorders>
            <w:shd w:val="clear" w:color="auto" w:fill="auto"/>
            <w:vAlign w:val="center"/>
          </w:tcPr>
          <w:p w14:paraId="682B2F70">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经济、财务、金融、财政、会计等相关专业</w:t>
            </w:r>
          </w:p>
        </w:tc>
        <w:tc>
          <w:tcPr>
            <w:tcW w:w="3686" w:type="dxa"/>
            <w:tcBorders>
              <w:top w:val="nil"/>
              <w:left w:val="nil"/>
              <w:bottom w:val="single" w:color="auto" w:sz="4" w:space="0"/>
              <w:right w:val="single" w:color="auto" w:sz="4" w:space="0"/>
            </w:tcBorders>
            <w:shd w:val="clear" w:color="auto" w:fill="auto"/>
            <w:vAlign w:val="center"/>
          </w:tcPr>
          <w:p w14:paraId="75463FA0">
            <w:pPr>
              <w:widowControl/>
              <w:jc w:val="left"/>
              <w:rPr>
                <w:rFonts w:ascii="仿宋_GB2312" w:hAnsi="等线" w:eastAsia="仿宋_GB2312" w:cs="宋体"/>
                <w:color w:val="000000"/>
                <w:kern w:val="0"/>
                <w:sz w:val="22"/>
              </w:rPr>
            </w:pPr>
            <w:bookmarkStart w:id="7" w:name="OLE_LINK40"/>
            <w:bookmarkStart w:id="8" w:name="OLE_LINK41"/>
            <w:r>
              <w:rPr>
                <w:rFonts w:ascii="仿宋_GB2312" w:hAnsi="等线" w:eastAsia="仿宋_GB2312" w:cs="宋体"/>
                <w:color w:val="000000"/>
                <w:kern w:val="0"/>
                <w:sz w:val="22"/>
              </w:rPr>
              <w:t>1</w:t>
            </w:r>
            <w:r>
              <w:rPr>
                <w:rFonts w:hint="eastAsia" w:ascii="仿宋_GB2312" w:hAnsi="等线" w:eastAsia="仿宋_GB2312" w:cs="宋体"/>
                <w:color w:val="000000"/>
                <w:kern w:val="0"/>
                <w:sz w:val="22"/>
              </w:rPr>
              <w:t>.熟悉会计核算，熟练操作财务软件；</w:t>
            </w:r>
          </w:p>
          <w:p w14:paraId="5BE641C7">
            <w:pPr>
              <w:widowControl/>
              <w:jc w:val="left"/>
              <w:rPr>
                <w:rFonts w:ascii="仿宋_GB2312" w:hAnsi="等线" w:eastAsia="仿宋_GB2312" w:cs="宋体"/>
                <w:color w:val="000000"/>
                <w:kern w:val="0"/>
                <w:sz w:val="22"/>
              </w:rPr>
            </w:pPr>
            <w:r>
              <w:rPr>
                <w:rFonts w:ascii="仿宋_GB2312" w:hAnsi="等线" w:eastAsia="仿宋_GB2312" w:cs="宋体"/>
                <w:color w:val="000000"/>
                <w:kern w:val="0"/>
                <w:sz w:val="22"/>
              </w:rPr>
              <w:t>2</w:t>
            </w:r>
            <w:r>
              <w:rPr>
                <w:rFonts w:hint="eastAsia" w:ascii="仿宋_GB2312" w:hAnsi="等线" w:eastAsia="仿宋_GB2312" w:cs="宋体"/>
                <w:color w:val="000000"/>
                <w:kern w:val="0"/>
                <w:sz w:val="22"/>
              </w:rPr>
              <w:t>.熟悉财务、税务等法律规范及会计准则；</w:t>
            </w:r>
            <w:r>
              <w:rPr>
                <w:rFonts w:hint="eastAsia" w:ascii="仿宋_GB2312" w:hAnsi="等线" w:eastAsia="仿宋_GB2312" w:cs="宋体"/>
                <w:color w:val="000000"/>
                <w:kern w:val="0"/>
                <w:sz w:val="22"/>
              </w:rPr>
              <w:br w:type="textWrapping"/>
            </w:r>
            <w:r>
              <w:rPr>
                <w:rFonts w:ascii="仿宋_GB2312" w:hAnsi="等线" w:eastAsia="仿宋_GB2312" w:cs="宋体"/>
                <w:color w:val="000000"/>
                <w:kern w:val="0"/>
                <w:sz w:val="22"/>
              </w:rPr>
              <w:t>3</w:t>
            </w:r>
            <w:r>
              <w:rPr>
                <w:rFonts w:hint="eastAsia" w:ascii="仿宋_GB2312" w:hAnsi="等线" w:eastAsia="仿宋_GB2312" w:cs="宋体"/>
                <w:color w:val="000000"/>
                <w:kern w:val="0"/>
                <w:sz w:val="22"/>
              </w:rPr>
              <w:t>.具有金融机构会计核算、财务管理实习经历的优先。</w:t>
            </w:r>
            <w:bookmarkEnd w:id="7"/>
            <w:bookmarkEnd w:id="8"/>
          </w:p>
        </w:tc>
      </w:tr>
    </w:tbl>
    <w:p w14:paraId="7BAE058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71"/>
    <w:rsid w:val="00047170"/>
    <w:rsid w:val="00083397"/>
    <w:rsid w:val="001431F1"/>
    <w:rsid w:val="00144D51"/>
    <w:rsid w:val="00145BA7"/>
    <w:rsid w:val="001A23F8"/>
    <w:rsid w:val="001A4334"/>
    <w:rsid w:val="001B4202"/>
    <w:rsid w:val="001C5E7C"/>
    <w:rsid w:val="001D49A9"/>
    <w:rsid w:val="001E37CA"/>
    <w:rsid w:val="001F0C85"/>
    <w:rsid w:val="00221852"/>
    <w:rsid w:val="00253E6D"/>
    <w:rsid w:val="002D06C6"/>
    <w:rsid w:val="002D1E64"/>
    <w:rsid w:val="002E650A"/>
    <w:rsid w:val="002F75CD"/>
    <w:rsid w:val="00333392"/>
    <w:rsid w:val="00395087"/>
    <w:rsid w:val="003E6D2F"/>
    <w:rsid w:val="003F0624"/>
    <w:rsid w:val="003F0A16"/>
    <w:rsid w:val="003F4557"/>
    <w:rsid w:val="00442C60"/>
    <w:rsid w:val="00476601"/>
    <w:rsid w:val="004A1A39"/>
    <w:rsid w:val="004A2CC3"/>
    <w:rsid w:val="004D1F4A"/>
    <w:rsid w:val="00551152"/>
    <w:rsid w:val="005B179D"/>
    <w:rsid w:val="005B6983"/>
    <w:rsid w:val="006015C7"/>
    <w:rsid w:val="00615E48"/>
    <w:rsid w:val="006A1771"/>
    <w:rsid w:val="006E4EBC"/>
    <w:rsid w:val="007C4112"/>
    <w:rsid w:val="007C56F0"/>
    <w:rsid w:val="007D58DA"/>
    <w:rsid w:val="007F235C"/>
    <w:rsid w:val="00811DC5"/>
    <w:rsid w:val="008808E8"/>
    <w:rsid w:val="008D3B06"/>
    <w:rsid w:val="008E5A06"/>
    <w:rsid w:val="008F395D"/>
    <w:rsid w:val="00922B99"/>
    <w:rsid w:val="00954BDF"/>
    <w:rsid w:val="009936A6"/>
    <w:rsid w:val="009A6B40"/>
    <w:rsid w:val="009B5FE0"/>
    <w:rsid w:val="009D51C6"/>
    <w:rsid w:val="00A858D9"/>
    <w:rsid w:val="00AC107F"/>
    <w:rsid w:val="00AF30F8"/>
    <w:rsid w:val="00B12B02"/>
    <w:rsid w:val="00B229F8"/>
    <w:rsid w:val="00B430FE"/>
    <w:rsid w:val="00B70153"/>
    <w:rsid w:val="00BC2C0F"/>
    <w:rsid w:val="00BD18A6"/>
    <w:rsid w:val="00BE0364"/>
    <w:rsid w:val="00C0192D"/>
    <w:rsid w:val="00C05316"/>
    <w:rsid w:val="00C563C6"/>
    <w:rsid w:val="00CA1599"/>
    <w:rsid w:val="00D02107"/>
    <w:rsid w:val="00D040CF"/>
    <w:rsid w:val="00D42135"/>
    <w:rsid w:val="00D63FA1"/>
    <w:rsid w:val="00D679ED"/>
    <w:rsid w:val="00DD4E84"/>
    <w:rsid w:val="00E2787E"/>
    <w:rsid w:val="00E53571"/>
    <w:rsid w:val="00E73DCF"/>
    <w:rsid w:val="00E96044"/>
    <w:rsid w:val="00ED07B6"/>
    <w:rsid w:val="00F01290"/>
    <w:rsid w:val="00F22450"/>
    <w:rsid w:val="00F9193D"/>
    <w:rsid w:val="1A2B27FC"/>
    <w:rsid w:val="256F4C45"/>
    <w:rsid w:val="38F65CEA"/>
    <w:rsid w:val="39990FE9"/>
    <w:rsid w:val="4CC40069"/>
    <w:rsid w:val="518D6117"/>
    <w:rsid w:val="614D1060"/>
    <w:rsid w:val="65817895"/>
    <w:rsid w:val="6E6A3F16"/>
    <w:rsid w:val="77BE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07F7-59FB-45DD-9551-80DFC434F683}">
  <ds:schemaRefs/>
</ds:datastoreItem>
</file>

<file path=docProps/app.xml><?xml version="1.0" encoding="utf-8"?>
<Properties xmlns="http://schemas.openxmlformats.org/officeDocument/2006/extended-properties" xmlns:vt="http://schemas.openxmlformats.org/officeDocument/2006/docPropsVTypes">
  <Template>Normal</Template>
  <Pages>3</Pages>
  <Words>2129</Words>
  <Characters>2241</Characters>
  <Lines>29</Lines>
  <Paragraphs>8</Paragraphs>
  <TotalTime>1</TotalTime>
  <ScaleCrop>false</ScaleCrop>
  <LinksUpToDate>false</LinksUpToDate>
  <CharactersWithSpaces>2263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2025-07-28T05:43:00Z</dcterms:created>
  <dc:creator>孙岚</dc:creator>
  <cp:lastModifiedBy>黄慧</cp:lastModifiedBy>
  <cp:lastPrinted>2025-07-30T03:03:00Z</cp:lastPrinted>
  <dcterms:modified xsi:type="dcterms:W3CDTF">2025-07-31T08:36:05Z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eyJoZGlkIjoiNDVlM2IxOWE5MGRkMDZkNDkyZWFhYzU4Y2RmOWUyNzQiLCJ1c2VySWQiOiI5OTExNzk1NjEifQ==</vt:lpwstr>
  </property>
  <property fmtid="{D5CDD505-2E9C-101B-9397-08002B2CF9AE}" pid="3" name="KSOProductBuildVer">
    <vt:lpwstr>2052-12.1.0.21915</vt:lpwstr>
  </property>
  <property fmtid="{D5CDD505-2E9C-101B-9397-08002B2CF9AE}" pid="4" name="ICV">
    <vt:lpwstr>DAEBDA523EB94C52A1EDC75D1E7253C2_12</vt:lpwstr>
  </property>
</Properties>
</file>